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SimulatorBooking Training Center Terms</w:t>
      </w:r>
    </w:p>
    <w:p>
      <w:pPr>
        <w:jc w:val="left"/>
      </w:pPr>
      <w:r>
        <w:rPr>
          <w:color w:val="5B6682"/>
          <w:sz w:val="20"/>
        </w:rPr>
        <w:t>Supplier-specific terms for listings, proposals, compliance, fees, payouts, invoices and documents.</w:t>
      </w:r>
    </w:p>
    <w:tbl>
      <w:tblPr>
        <w:tblStyle w:val="TableGrid"/>
        <w:tblW w:type="auto" w:w="0"/>
        <w:tblLook w:firstColumn="1" w:firstRow="1" w:lastColumn="0" w:lastRow="0" w:noHBand="0" w:noVBand="1" w:val="04A0"/>
      </w:tblPr>
      <w:tblGrid>
        <w:gridCol w:w="4968"/>
        <w:gridCol w:w="4968"/>
      </w:tblGrid>
      <w:tr>
        <w:tc>
          <w:tcPr>
            <w:tcW w:type="dxa" w:w="4968"/>
            <w:shd w:fill="EEF3FF"/>
            <w:tcBorders>
              <w:top w:val="single" w:sz="6" w:space="0" w:color="D7DDEA"/>
              <w:left w:val="single" w:sz="6" w:space="0" w:color="D7DDEA"/>
              <w:bottom w:val="single" w:sz="6" w:space="0" w:color="D7DDEA"/>
              <w:right w:val="single" w:sz="6" w:space="0" w:color="D7DDEA"/>
            </w:tcBorders>
          </w:tcPr>
          <w:p>
            <w:r>
              <w:rPr>
                <w:rFonts w:ascii="Arial" w:hAnsi="Arial"/>
                <w:sz w:val="18"/>
              </w:rPr>
              <w:t>Company</w:t>
            </w:r>
          </w:p>
        </w:tc>
        <w:tc>
          <w:tcPr>
            <w:tcW w:type="dxa" w:w="4968"/>
            <w:tcBorders>
              <w:top w:val="single" w:sz="6" w:space="0" w:color="D7DDEA"/>
              <w:left w:val="single" w:sz="6" w:space="0" w:color="D7DDEA"/>
              <w:bottom w:val="single" w:sz="6" w:space="0" w:color="D7DDEA"/>
              <w:right w:val="single" w:sz="6" w:space="0" w:color="D7DDEA"/>
            </w:tcBorders>
          </w:tcPr>
          <w:p>
            <w:r>
              <w:rPr>
                <w:rFonts w:ascii="Arial" w:hAnsi="Arial"/>
                <w:sz w:val="18"/>
              </w:rPr>
              <w:t>Simulator Booking Inc.</w:t>
            </w:r>
          </w:p>
        </w:tc>
      </w:tr>
      <w:tr>
        <w:tc>
          <w:tcPr>
            <w:tcW w:type="dxa" w:w="4968"/>
            <w:shd w:fill="EEF3FF"/>
            <w:tcBorders>
              <w:top w:val="single" w:sz="6" w:space="0" w:color="D7DDEA"/>
              <w:left w:val="single" w:sz="6" w:space="0" w:color="D7DDEA"/>
              <w:bottom w:val="single" w:sz="6" w:space="0" w:color="D7DDEA"/>
              <w:right w:val="single" w:sz="6" w:space="0" w:color="D7DDEA"/>
            </w:tcBorders>
          </w:tcPr>
          <w:p>
            <w:r>
              <w:rPr>
                <w:rFonts w:ascii="Arial" w:hAnsi="Arial"/>
                <w:sz w:val="18"/>
              </w:rPr>
              <w:t>Registered Office</w:t>
            </w:r>
          </w:p>
        </w:tc>
        <w:tc>
          <w:tcPr>
            <w:tcW w:type="dxa" w:w="4968"/>
            <w:tcBorders>
              <w:top w:val="single" w:sz="6" w:space="0" w:color="D7DDEA"/>
              <w:left w:val="single" w:sz="6" w:space="0" w:color="D7DDEA"/>
              <w:bottom w:val="single" w:sz="6" w:space="0" w:color="D7DDEA"/>
              <w:right w:val="single" w:sz="6" w:space="0" w:color="D7DDEA"/>
            </w:tcBorders>
          </w:tcPr>
          <w:p>
            <w:r>
              <w:rPr>
                <w:rFonts w:ascii="Arial" w:hAnsi="Arial"/>
                <w:sz w:val="18"/>
              </w:rPr>
              <w:t>1111B S Governors Avenue STE #26507, Dover, DE 19904, USA</w:t>
            </w:r>
          </w:p>
        </w:tc>
      </w:tr>
      <w:tr>
        <w:tc>
          <w:tcPr>
            <w:tcW w:type="dxa" w:w="4968"/>
            <w:shd w:fill="EEF3FF"/>
            <w:tcBorders>
              <w:top w:val="single" w:sz="6" w:space="0" w:color="D7DDEA"/>
              <w:left w:val="single" w:sz="6" w:space="0" w:color="D7DDEA"/>
              <w:bottom w:val="single" w:sz="6" w:space="0" w:color="D7DDEA"/>
              <w:right w:val="single" w:sz="6" w:space="0" w:color="D7DDEA"/>
            </w:tcBorders>
          </w:tcPr>
          <w:p>
            <w:r>
              <w:rPr>
                <w:rFonts w:ascii="Arial" w:hAnsi="Arial"/>
                <w:sz w:val="18"/>
              </w:rPr>
              <w:t>Last Updated</w:t>
            </w:r>
          </w:p>
        </w:tc>
        <w:tc>
          <w:tcPr>
            <w:tcW w:type="dxa" w:w="4968"/>
            <w:tcBorders>
              <w:top w:val="single" w:sz="6" w:space="0" w:color="D7DDEA"/>
              <w:left w:val="single" w:sz="6" w:space="0" w:color="D7DDEA"/>
              <w:bottom w:val="single" w:sz="6" w:space="0" w:color="D7DDEA"/>
              <w:right w:val="single" w:sz="6" w:space="0" w:color="D7DDEA"/>
            </w:tcBorders>
          </w:tcPr>
          <w:p>
            <w:r>
              <w:rPr>
                <w:rFonts w:ascii="Arial" w:hAnsi="Arial"/>
                <w:sz w:val="18"/>
              </w:rPr>
              <w:t>May 5, 2026</w:t>
            </w:r>
          </w:p>
        </w:tc>
      </w:tr>
    </w:tbl>
    <w:p/>
    <w:tbl>
      <w:tblPr>
        <w:tblStyle w:val="TableGrid"/>
        <w:tblW w:type="auto" w:w="0"/>
        <w:tblLook w:firstColumn="1" w:firstRow="1" w:lastColumn="0" w:lastRow="0" w:noHBand="0" w:noVBand="1" w:val="04A0"/>
      </w:tblPr>
      <w:tblGrid>
        <w:gridCol w:w="9936"/>
      </w:tblGrid>
      <w:tr>
        <w:tc>
          <w:tcPr>
            <w:tcW w:type="dxa" w:w="9936"/>
            <w:shd w:fill="EEF3FF"/>
            <w:tcBorders>
              <w:top w:val="single" w:sz="6" w:space="0" w:color="D7DDEA"/>
              <w:left w:val="single" w:sz="6" w:space="0" w:color="D7DDEA"/>
              <w:bottom w:val="single" w:sz="6" w:space="0" w:color="D7DDEA"/>
              <w:right w:val="single" w:sz="6" w:space="0" w:color="D7DDEA"/>
            </w:tcBorders>
          </w:tcPr>
          <w:p>
            <w:r>
              <w:rPr>
                <w:rFonts w:ascii="Arial" w:hAnsi="Arial"/>
                <w:color w:val="07133A"/>
                <w:sz w:val="18"/>
              </w:rPr>
              <w:t>Training centers should accept these terms before publishing simulator availability or sending proposals.</w:t>
            </w:r>
          </w:p>
        </w:tc>
      </w:tr>
    </w:tbl>
    <w:p/>
    <w:p>
      <w:pPr>
        <w:pStyle w:val="Heading1"/>
      </w:pPr>
      <w:r>
        <w:t>1. Listings, Slots and Proposals</w:t>
      </w:r>
    </w:p>
    <w:p>
      <w:r>
        <w:t>The training center is responsible for ensuring that simulator listings, availability, prices, slot settings, dry lease or wet lease options, additional services, cancellation policies, billing details, tax information, and proposal content are accurate and up to date.</w:t>
      </w:r>
    </w:p>
    <w:p>
      <w:r>
        <w:t>A proposal sent through the platform must reflect what the training center can provide. If TRI/SFI or TRE/SFE assignment is to be determined later, the training center remains responsible for completing assignments before the sessions and responding to reminders.</w:t>
      </w:r>
    </w:p>
    <w:p>
      <w:pPr>
        <w:pStyle w:val="Heading1"/>
      </w:pPr>
      <w:r>
        <w:t>2. Operational and Regulatory Responsibility</w:t>
      </w:r>
    </w:p>
    <w:p>
      <w:r>
        <w:t>The training center is solely responsible for simulator certification, approvals, compliance, insurance, instructor and examiner qualifications, facility access, training delivery, and all applicable aviation, employment, tax, and safety requirements.</w:t>
      </w:r>
    </w:p>
    <w:p>
      <w:pPr>
        <w:pStyle w:val="Heading1"/>
      </w:pPr>
      <w:r>
        <w:t>3. Fees, Deductions and Release of Funds</w:t>
      </w:r>
    </w:p>
    <w:p>
      <w:r>
        <w:t>SimulatorBooking may deduct platform commission, Stripe fees, subscription amounts, refunds, chargebacks, adjustments, and other agreed amounts before funds are released to the training center. The training center is responsible for Stripe onboarding and maintaining payout eligibility.</w:t>
      </w:r>
    </w:p>
    <w:p>
      <w:r>
        <w:t>Funds may be released after training completion and after required final invoices, training certificates where applicable, or other documents are uploaded and verified according to platform rules.</w:t>
      </w:r>
    </w:p>
    <w:p>
      <w:pPr>
        <w:pStyle w:val="Heading1"/>
      </w:pPr>
      <w:r>
        <w:t>4. Invoices and Documents</w:t>
      </w:r>
    </w:p>
    <w:p>
      <w:r>
        <w:t>The training center must provide accurate final invoices and required post-training documents through the platform within the required timeframe. SimulatorBooking may remind the training center and may trigger manual review or refund workflows if documents are not provided.</w:t>
      </w:r>
    </w:p>
    <w:p>
      <w:pPr>
        <w:pStyle w:val="Heading1"/>
      </w:pPr>
      <w:r>
        <w:t>5. No Circumvention</w:t>
      </w:r>
    </w:p>
    <w:p>
      <w:r>
        <w:t>The training center must not use customer information, booking requests, anonymized labels, messages, or platform introductions to arrange transactions outside SimulatorBooking or avoid platform commissions. This restriction applies to direct and indirect bookings arising from a platform introduction.</w:t>
      </w:r>
    </w:p>
    <w:p>
      <w:pPr>
        <w:pStyle w:val="Heading1"/>
      </w:pPr>
      <w:r>
        <w:t>6. Data Protection</w:t>
      </w:r>
    </w:p>
    <w:p>
      <w:r>
        <w:t>The training center must process customer, pilot, crew, instructor, examiner, invoice, and training data only for legitimate booking and training purposes and must protect confidential information received through the platform.</w:t>
      </w:r>
    </w:p>
    <w:p>
      <w:pPr>
        <w:pStyle w:val="Heading1"/>
      </w:pPr>
      <w:r>
        <w:t>7. Training Certificates and Dry Lease</w:t>
      </w:r>
    </w:p>
    <w:p>
      <w:r>
        <w:t>Training certificates are expected where training delivery includes certificate issuance or where agreed in the booking. Dry lease bookings may not require training certificates unless the training center and customer separately agree or applicable rules require them.</w:t>
      </w:r>
    </w:p>
    <w:p>
      <w:pPr>
        <w:pStyle w:val="Heading1"/>
      </w:pPr>
      <w:r>
        <w:t>8. Proposal Accuracy and Preview Review</w:t>
      </w:r>
    </w:p>
    <w:p>
      <w:r>
        <w:t>Before sending a proposal, the training center must review the final proposal preview and verify slot order, prices, VAT, additional services, cancellation rules, confirmation deadline, dry lease or wet lease status, crew assignment status, and customer-visible terms.</w:t>
      </w:r>
    </w:p>
    <w:p>
      <w:pPr>
        <w:pStyle w:val="Heading1"/>
      </w:pPr>
      <w:r>
        <w:t>9. Payout Eligibility and Stripe Connect</w:t>
      </w:r>
    </w:p>
    <w:p>
      <w:r>
        <w:t>Training centers must complete Stripe Connect onboarding and keep payout details accurate. SimulatorBooking may be unable to release funds while Stripe account verification, compliance review, sanctions screening, payout capability, or account restrictions remain unresolved.</w:t>
      </w:r>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682"/>
        <w:sz w:val="16"/>
      </w:rPr>
      <w:t xml:space="preserve">Simulator Booking Inc. | www.simulatorbooking.com |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pPr>
    <w:r>
      <w:rPr>
        <w:color w:val="5B6682"/>
        <w:sz w:val="18"/>
      </w:rPr>
      <w:t>SimulatorBooking Training Center Terms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C1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Arial" w:hAnsi="Arial"/>
      <w:b/>
      <w:bCs/>
      <w:color w:val="07133A"/>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071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7133A"/>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